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ED1" w:rsidRDefault="00000000">
      <w:pPr>
        <w:jc w:val="left"/>
        <w:rPr>
          <w:rFonts w:ascii="黑体" w:eastAsia="黑体" w:hAnsi="黑体" w:hint="eastAsia"/>
          <w:sz w:val="36"/>
          <w:szCs w:val="40"/>
        </w:rPr>
      </w:pPr>
      <w:r>
        <w:rPr>
          <w:rFonts w:ascii="黑体" w:eastAsia="黑体" w:hAnsi="黑体"/>
          <w:noProof/>
          <w:sz w:val="36"/>
          <w:szCs w:val="40"/>
        </w:rPr>
        <w:drawing>
          <wp:inline distT="0" distB="0" distL="0" distR="0">
            <wp:extent cx="2743200" cy="715010"/>
            <wp:effectExtent l="0" t="0" r="0" b="0"/>
            <wp:docPr id="1" name="图片 2" descr="协会组合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协会组合LOGO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744763" cy="71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36"/>
          <w:szCs w:val="40"/>
        </w:rPr>
        <w:t xml:space="preserve">                </w:t>
      </w:r>
      <w:r>
        <w:rPr>
          <w:noProof/>
        </w:rPr>
        <w:drawing>
          <wp:inline distT="0" distB="0" distL="0" distR="0">
            <wp:extent cx="1077595" cy="814705"/>
            <wp:effectExtent l="0" t="0" r="825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7759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D1" w:rsidRDefault="004E3ED1">
      <w:pPr>
        <w:spacing w:line="594" w:lineRule="exact"/>
        <w:jc w:val="center"/>
        <w:rPr>
          <w:rFonts w:ascii="黑体" w:eastAsia="黑体" w:hAnsi="黑体" w:cs="Times New Roman" w:hint="eastAsia"/>
          <w:sz w:val="13"/>
          <w:szCs w:val="13"/>
        </w:rPr>
      </w:pPr>
    </w:p>
    <w:p w:rsidR="004E3ED1" w:rsidRDefault="00000000">
      <w:pPr>
        <w:spacing w:line="594" w:lineRule="exact"/>
        <w:jc w:val="center"/>
        <w:rPr>
          <w:rFonts w:ascii="黑体" w:eastAsia="黑体" w:hAnsi="黑体" w:cs="Times New Roman" w:hint="eastAsia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年度监督评价报告</w:t>
      </w:r>
    </w:p>
    <w:p w:rsidR="004E3ED1" w:rsidRDefault="004E3ED1">
      <w:pPr>
        <w:rPr>
          <w:rFonts w:hint="eastAsia"/>
          <w:sz w:val="22"/>
          <w:szCs w:val="20"/>
        </w:rPr>
      </w:pPr>
    </w:p>
    <w:p w:rsidR="004E3ED1" w:rsidRDefault="00000000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企业名称：</w:t>
      </w:r>
      <w:r>
        <w:rPr>
          <w:rFonts w:hint="eastAsia"/>
          <w:sz w:val="24"/>
          <w:szCs w:val="24"/>
          <w:u w:val="single"/>
        </w:rPr>
        <w:t xml:space="preserve">                                      </w:t>
      </w:r>
      <w:r>
        <w:rPr>
          <w:sz w:val="24"/>
          <w:szCs w:val="24"/>
          <w:u w:val="single"/>
        </w:rPr>
        <w:t xml:space="preserve">  </w:t>
      </w:r>
      <w:r w:rsidR="00654EAA"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</w:t>
      </w:r>
    </w:p>
    <w:p w:rsidR="00DB502F" w:rsidRDefault="00DB502F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</w:t>
      </w:r>
      <w:r w:rsidRPr="00DB502F">
        <w:rPr>
          <w:rFonts w:hint="eastAsia"/>
          <w:sz w:val="24"/>
          <w:szCs w:val="24"/>
        </w:rPr>
        <w:t>人：</w:t>
      </w:r>
      <w:r w:rsidRPr="00DB502F">
        <w:rPr>
          <w:rFonts w:hint="eastAsia"/>
          <w:sz w:val="24"/>
          <w:szCs w:val="24"/>
          <w:u w:val="single"/>
        </w:rPr>
        <w:t xml:space="preserve">                  </w:t>
      </w:r>
      <w:r w:rsidR="00654EAA">
        <w:rPr>
          <w:rFonts w:hint="eastAsia"/>
          <w:sz w:val="24"/>
          <w:szCs w:val="24"/>
          <w:u w:val="single"/>
        </w:rPr>
        <w:t xml:space="preserve"> </w:t>
      </w:r>
      <w:r w:rsidR="00654EAA">
        <w:rPr>
          <w:rFonts w:hint="eastAsia"/>
          <w:sz w:val="24"/>
          <w:szCs w:val="24"/>
        </w:rPr>
        <w:t>联系方式：</w:t>
      </w:r>
      <w:r w:rsidR="00654EAA">
        <w:rPr>
          <w:rFonts w:hint="eastAsia"/>
          <w:sz w:val="24"/>
          <w:szCs w:val="24"/>
          <w:u w:val="single"/>
        </w:rPr>
        <w:t xml:space="preserve">                     </w:t>
      </w:r>
    </w:p>
    <w:p w:rsidR="00812495" w:rsidRPr="00DB502F" w:rsidRDefault="00812495">
      <w:pPr>
        <w:spacing w:line="360" w:lineRule="auto"/>
        <w:rPr>
          <w:rFonts w:hint="eastAsia"/>
          <w:sz w:val="24"/>
          <w:szCs w:val="24"/>
        </w:rPr>
      </w:pPr>
    </w:p>
    <w:p w:rsidR="00DB502F" w:rsidRDefault="00DB502F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评价机构：</w:t>
      </w:r>
      <w:r>
        <w:rPr>
          <w:rFonts w:hint="eastAsia"/>
          <w:sz w:val="24"/>
          <w:szCs w:val="24"/>
          <w:u w:val="single"/>
        </w:rPr>
        <w:t xml:space="preserve">                                     </w:t>
      </w:r>
      <w:r w:rsidR="00654EAA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</w:t>
      </w:r>
    </w:p>
    <w:p w:rsidR="00DB502F" w:rsidRDefault="00DB502F" w:rsidP="00DB502F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评价专家：组长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u w:val="single"/>
        </w:rPr>
        <w:t xml:space="preserve">                  </w:t>
      </w:r>
    </w:p>
    <w:p w:rsidR="00DB502F" w:rsidRDefault="00DB502F" w:rsidP="00DB502F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组员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812495" w:rsidRDefault="00812495" w:rsidP="00DB502F">
      <w:pPr>
        <w:spacing w:line="360" w:lineRule="auto"/>
        <w:rPr>
          <w:rFonts w:hint="eastAsia"/>
          <w:sz w:val="24"/>
          <w:szCs w:val="24"/>
          <w:u w:val="single"/>
        </w:rPr>
      </w:pPr>
    </w:p>
    <w:p w:rsidR="00DB502F" w:rsidRDefault="00DB502F" w:rsidP="00DB502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评价时间：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4E3ED1" w:rsidRDefault="0000000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评价方式（机构可根据实际情况勾选）：</w:t>
      </w:r>
    </w:p>
    <w:p w:rsidR="004E3ED1" w:rsidRDefault="00000000">
      <w:pPr>
        <w:pStyle w:val="afc"/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企业提交年度监督评价材料</w:t>
      </w:r>
    </w:p>
    <w:p w:rsidR="004E3ED1" w:rsidRDefault="00000000">
      <w:pPr>
        <w:pStyle w:val="afc"/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评价专家现场监督评价</w:t>
      </w:r>
    </w:p>
    <w:p w:rsidR="004E3ED1" w:rsidRDefault="0000000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本次为该企业的第（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）次年度监督评价</w:t>
      </w:r>
    </w:p>
    <w:p w:rsidR="004E3ED1" w:rsidRDefault="0000000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前次年度监督评价或初评时间：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4E3ED1" w:rsidRDefault="004E3ED1">
      <w:pPr>
        <w:spacing w:line="360" w:lineRule="auto"/>
        <w:rPr>
          <w:rFonts w:hint="eastAsia"/>
          <w:sz w:val="24"/>
          <w:szCs w:val="24"/>
        </w:rPr>
      </w:pPr>
    </w:p>
    <w:p w:rsidR="004E3ED1" w:rsidRPr="00B81B9C" w:rsidRDefault="00000000">
      <w:pPr>
        <w:spacing w:line="360" w:lineRule="auto"/>
        <w:rPr>
          <w:rFonts w:hint="eastAsia"/>
          <w:b/>
          <w:bCs/>
          <w:sz w:val="28"/>
          <w:szCs w:val="28"/>
        </w:rPr>
      </w:pPr>
      <w:r w:rsidRPr="00B81B9C">
        <w:rPr>
          <w:rFonts w:hint="eastAsia"/>
          <w:b/>
          <w:bCs/>
          <w:sz w:val="28"/>
          <w:szCs w:val="28"/>
        </w:rPr>
        <w:t>年度监督评价</w:t>
      </w:r>
      <w:r w:rsidR="00431A90">
        <w:rPr>
          <w:rFonts w:hint="eastAsia"/>
          <w:b/>
          <w:bCs/>
          <w:sz w:val="28"/>
          <w:szCs w:val="28"/>
        </w:rPr>
        <w:t>情况</w:t>
      </w:r>
      <w:r w:rsidRPr="00B81B9C">
        <w:rPr>
          <w:rFonts w:hint="eastAsia"/>
          <w:b/>
          <w:bCs/>
          <w:sz w:val="28"/>
          <w:szCs w:val="28"/>
        </w:rPr>
        <w:t>：</w:t>
      </w:r>
    </w:p>
    <w:p w:rsidR="004E3ED1" w:rsidRDefault="0000000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）企业信用变化情况</w:t>
      </w:r>
    </w:p>
    <w:p w:rsidR="00D04EC3" w:rsidRDefault="00000000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  <w:sz w:val="24"/>
          <w:szCs w:val="24"/>
        </w:rPr>
        <w:t>无</w:t>
      </w:r>
      <w:r>
        <w:rPr>
          <w:rFonts w:asciiTheme="minorEastAsia" w:hAnsiTheme="minorEastAsia" w:hint="eastAsia"/>
          <w:sz w:val="24"/>
          <w:szCs w:val="24"/>
        </w:rPr>
        <w:t xml:space="preserve">□     有□  </w:t>
      </w:r>
    </w:p>
    <w:p w:rsidR="004E3ED1" w:rsidRDefault="00812495">
      <w:pPr>
        <w:spacing w:line="360" w:lineRule="auto"/>
        <w:ind w:firstLine="480"/>
        <w:rPr>
          <w:rFonts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如有，请说明：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                                </w:t>
      </w:r>
      <w:r w:rsidR="00D04EC3">
        <w:rPr>
          <w:rFonts w:hint="eastAsia"/>
          <w:sz w:val="24"/>
          <w:szCs w:val="24"/>
          <w:u w:val="single"/>
        </w:rPr>
        <w:t xml:space="preserve">               </w:t>
      </w:r>
    </w:p>
    <w:p w:rsidR="00431A90" w:rsidRPr="00431A90" w:rsidRDefault="00000000">
      <w:pPr>
        <w:spacing w:line="360" w:lineRule="auto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）前次</w:t>
      </w:r>
      <w:r w:rsidR="00431A90">
        <w:rPr>
          <w:rFonts w:asciiTheme="minorEastAsia" w:hAnsiTheme="minorEastAsia" w:hint="eastAsia"/>
          <w:sz w:val="24"/>
          <w:szCs w:val="24"/>
        </w:rPr>
        <w:t>评价</w:t>
      </w:r>
      <w:r w:rsidR="00176059">
        <w:rPr>
          <w:rFonts w:asciiTheme="minorEastAsia" w:hAnsiTheme="minorEastAsia" w:hint="eastAsia"/>
          <w:sz w:val="24"/>
          <w:szCs w:val="24"/>
        </w:rPr>
        <w:t>改进建议</w:t>
      </w:r>
      <w:r w:rsidR="00431A90">
        <w:rPr>
          <w:rFonts w:asciiTheme="minorEastAsia" w:hAnsiTheme="minorEastAsia" w:hint="eastAsia"/>
          <w:sz w:val="24"/>
          <w:szCs w:val="24"/>
        </w:rPr>
        <w:t>是：</w:t>
      </w:r>
    </w:p>
    <w:p w:rsidR="004E3ED1" w:rsidRDefault="00000000" w:rsidP="00431A90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</w:t>
      </w:r>
      <w:r w:rsidR="00D04EC3">
        <w:rPr>
          <w:rFonts w:hint="eastAsia"/>
          <w:sz w:val="24"/>
          <w:szCs w:val="24"/>
          <w:u w:val="single"/>
        </w:rPr>
        <w:t xml:space="preserve">     </w:t>
      </w:r>
      <w:r w:rsidR="00431A90">
        <w:rPr>
          <w:rFonts w:hint="eastAsia"/>
          <w:sz w:val="24"/>
          <w:szCs w:val="24"/>
          <w:u w:val="single"/>
        </w:rPr>
        <w:t xml:space="preserve">                 </w:t>
      </w:r>
      <w:r w:rsidR="00D04EC3">
        <w:rPr>
          <w:rFonts w:hint="eastAsia"/>
          <w:sz w:val="24"/>
          <w:szCs w:val="24"/>
          <w:u w:val="single"/>
        </w:rPr>
        <w:t xml:space="preserve">        </w:t>
      </w:r>
      <w:r w:rsidR="00431A90">
        <w:rPr>
          <w:rFonts w:hint="eastAsia"/>
          <w:sz w:val="24"/>
          <w:szCs w:val="24"/>
          <w:u w:val="single"/>
        </w:rPr>
        <w:t xml:space="preserve">     </w:t>
      </w:r>
      <w:r w:rsidR="00D04EC3">
        <w:rPr>
          <w:rFonts w:hint="eastAsia"/>
          <w:sz w:val="24"/>
          <w:szCs w:val="24"/>
          <w:u w:val="single"/>
        </w:rPr>
        <w:t xml:space="preserve">    </w:t>
      </w:r>
    </w:p>
    <w:p w:rsidR="00431A90" w:rsidRDefault="00431A90" w:rsidP="00431A90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</w:t>
      </w:r>
      <w:r w:rsidR="00D04EC3">
        <w:rPr>
          <w:rFonts w:hint="eastAsia"/>
          <w:sz w:val="24"/>
          <w:szCs w:val="24"/>
          <w:u w:val="single"/>
        </w:rPr>
        <w:t xml:space="preserve">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</w:t>
      </w:r>
      <w:r w:rsidR="00D04EC3">
        <w:rPr>
          <w:rFonts w:hint="eastAsia"/>
          <w:sz w:val="24"/>
          <w:szCs w:val="24"/>
          <w:u w:val="single"/>
        </w:rPr>
        <w:t xml:space="preserve">                 </w:t>
      </w:r>
    </w:p>
    <w:p w:rsidR="00EA6BCE" w:rsidRDefault="00431A90" w:rsidP="00431A9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DB502F">
        <w:rPr>
          <w:rFonts w:hint="eastAsia"/>
          <w:sz w:val="24"/>
          <w:szCs w:val="24"/>
        </w:rPr>
        <w:t>本次</w:t>
      </w:r>
      <w:r w:rsidR="00812495">
        <w:rPr>
          <w:rFonts w:hint="eastAsia"/>
          <w:sz w:val="24"/>
          <w:szCs w:val="24"/>
        </w:rPr>
        <w:t>专家</w:t>
      </w:r>
      <w:r w:rsidR="00D31BA2">
        <w:rPr>
          <w:rFonts w:hint="eastAsia"/>
          <w:sz w:val="24"/>
          <w:szCs w:val="24"/>
        </w:rPr>
        <w:t>的</w:t>
      </w:r>
      <w:r w:rsidR="00DB502F">
        <w:rPr>
          <w:rFonts w:hint="eastAsia"/>
          <w:sz w:val="24"/>
          <w:szCs w:val="24"/>
        </w:rPr>
        <w:t>监督检查范围</w:t>
      </w:r>
      <w:r w:rsidR="00D31BA2">
        <w:rPr>
          <w:rFonts w:hint="eastAsia"/>
          <w:sz w:val="24"/>
          <w:szCs w:val="24"/>
        </w:rPr>
        <w:t>是</w:t>
      </w:r>
      <w:r w:rsidR="00DB502F">
        <w:rPr>
          <w:rFonts w:hint="eastAsia"/>
          <w:sz w:val="24"/>
          <w:szCs w:val="24"/>
        </w:rPr>
        <w:t>：</w:t>
      </w:r>
    </w:p>
    <w:p w:rsidR="00DB502F" w:rsidRDefault="00DB502F" w:rsidP="00431A90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</w:t>
      </w:r>
      <w:r w:rsidR="00EA6BCE">
        <w:rPr>
          <w:rFonts w:hint="eastAsia"/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:rsidR="00DB502F" w:rsidRPr="00DB502F" w:rsidRDefault="00DB502F" w:rsidP="00431A90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</w:t>
      </w:r>
      <w:r w:rsidR="00431A90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:rsidR="00431A90" w:rsidRDefault="00431A90" w:rsidP="00431A9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）评价意见有无整改落实</w:t>
      </w:r>
    </w:p>
    <w:p w:rsidR="00431A90" w:rsidRDefault="00431A90" w:rsidP="00431A90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  <w:sz w:val="24"/>
          <w:szCs w:val="24"/>
        </w:rPr>
        <w:t>无</w:t>
      </w:r>
      <w:r>
        <w:rPr>
          <w:rFonts w:asciiTheme="minorEastAsia" w:hAnsiTheme="minorEastAsia" w:hint="eastAsia"/>
          <w:sz w:val="24"/>
          <w:szCs w:val="24"/>
        </w:rPr>
        <w:t xml:space="preserve">□     有□  </w:t>
      </w:r>
    </w:p>
    <w:p w:rsidR="00D04EC3" w:rsidRPr="00D04EC3" w:rsidRDefault="00EA6BCE" w:rsidP="00D04EC3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详细说明具体</w:t>
      </w:r>
      <w:r w:rsidR="00D04EC3" w:rsidRPr="00D04EC3">
        <w:rPr>
          <w:rFonts w:hint="eastAsia"/>
          <w:sz w:val="24"/>
          <w:szCs w:val="24"/>
        </w:rPr>
        <w:t>情况：</w:t>
      </w:r>
      <w:r w:rsidR="00D04EC3"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D04EC3" w:rsidRDefault="00D04EC3" w:rsidP="00B81B9C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  <w:r w:rsidR="00B81B9C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</w:t>
      </w:r>
    </w:p>
    <w:p w:rsidR="00D04EC3" w:rsidRPr="00D04EC3" w:rsidRDefault="00D04EC3" w:rsidP="00B81B9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  <w:r w:rsidR="00B81B9C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</w:t>
      </w:r>
    </w:p>
    <w:p w:rsidR="004E3ED1" w:rsidRDefault="0000000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A6BCE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）体系运行的持续符合性、有效性说明及相关变化情况</w:t>
      </w:r>
      <w:r w:rsidR="00EA6BCE">
        <w:rPr>
          <w:rFonts w:hint="eastAsia"/>
          <w:sz w:val="24"/>
          <w:szCs w:val="24"/>
        </w:rPr>
        <w:t>：</w:t>
      </w:r>
    </w:p>
    <w:p w:rsidR="004E3ED1" w:rsidRPr="00812495" w:rsidRDefault="00677E18">
      <w:pPr>
        <w:spacing w:line="360" w:lineRule="auto"/>
        <w:rPr>
          <w:rFonts w:hint="eastAsia"/>
          <w:sz w:val="24"/>
          <w:szCs w:val="24"/>
          <w:u w:val="single"/>
        </w:rPr>
      </w:pPr>
      <w:r w:rsidRPr="00812495">
        <w:rPr>
          <w:rFonts w:hint="eastAsia"/>
          <w:sz w:val="24"/>
          <w:szCs w:val="24"/>
          <w:u w:val="single"/>
        </w:rPr>
        <w:t xml:space="preserve">            </w:t>
      </w:r>
      <w:r w:rsidRPr="00812495">
        <w:rPr>
          <w:sz w:val="24"/>
          <w:szCs w:val="24"/>
          <w:u w:val="single"/>
        </w:rPr>
        <w:t xml:space="preserve">                                                               </w:t>
      </w:r>
    </w:p>
    <w:p w:rsidR="004E3ED1" w:rsidRPr="00812495" w:rsidRDefault="00677E18">
      <w:pPr>
        <w:spacing w:line="360" w:lineRule="auto"/>
        <w:rPr>
          <w:rFonts w:hint="eastAsia"/>
          <w:sz w:val="24"/>
          <w:szCs w:val="24"/>
          <w:u w:val="single"/>
        </w:rPr>
      </w:pPr>
      <w:r w:rsidRPr="00812495">
        <w:rPr>
          <w:rFonts w:hint="eastAsia"/>
          <w:sz w:val="24"/>
          <w:szCs w:val="24"/>
          <w:u w:val="single"/>
        </w:rPr>
        <w:t xml:space="preserve">            </w:t>
      </w:r>
      <w:r w:rsidRPr="00812495">
        <w:rPr>
          <w:sz w:val="24"/>
          <w:szCs w:val="24"/>
          <w:u w:val="single"/>
        </w:rPr>
        <w:t xml:space="preserve">                                                               </w:t>
      </w:r>
    </w:p>
    <w:p w:rsidR="00677E18" w:rsidRPr="00812495" w:rsidRDefault="00677E18">
      <w:pPr>
        <w:spacing w:line="360" w:lineRule="auto"/>
        <w:rPr>
          <w:rFonts w:hint="eastAsia"/>
          <w:sz w:val="24"/>
          <w:szCs w:val="24"/>
          <w:u w:val="single"/>
        </w:rPr>
      </w:pPr>
      <w:r w:rsidRPr="00812495">
        <w:rPr>
          <w:rFonts w:hint="eastAsia"/>
          <w:sz w:val="24"/>
          <w:szCs w:val="24"/>
          <w:u w:val="single"/>
        </w:rPr>
        <w:t xml:space="preserve">                                                                           </w:t>
      </w:r>
    </w:p>
    <w:p w:rsidR="00677E18" w:rsidRPr="00812495" w:rsidRDefault="00677E18">
      <w:pPr>
        <w:spacing w:line="360" w:lineRule="auto"/>
        <w:rPr>
          <w:rFonts w:hint="eastAsia"/>
          <w:sz w:val="24"/>
          <w:szCs w:val="24"/>
          <w:u w:val="single"/>
        </w:rPr>
      </w:pPr>
      <w:r w:rsidRPr="00812495">
        <w:rPr>
          <w:rFonts w:hint="eastAsia"/>
          <w:sz w:val="24"/>
          <w:szCs w:val="24"/>
          <w:u w:val="single"/>
        </w:rPr>
        <w:t xml:space="preserve">                                                                           </w:t>
      </w:r>
    </w:p>
    <w:p w:rsidR="00112346" w:rsidRDefault="00112346" w:rsidP="0011234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A6BCE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）下一阶段工作计划</w:t>
      </w:r>
      <w:r w:rsidR="00EA6BCE">
        <w:rPr>
          <w:rFonts w:hint="eastAsia"/>
          <w:sz w:val="24"/>
          <w:szCs w:val="24"/>
        </w:rPr>
        <w:t>：</w:t>
      </w:r>
    </w:p>
    <w:p w:rsidR="00112346" w:rsidRDefault="00112346" w:rsidP="008114A2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年度监督□     提升等级换证□     到期复审换证□  </w:t>
      </w:r>
    </w:p>
    <w:p w:rsidR="00112346" w:rsidRDefault="00112346" w:rsidP="0011234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E3ED1" w:rsidRDefault="0000000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本次年度监督评价结论：</w:t>
      </w:r>
      <w:r w:rsidR="00962E3C">
        <w:rPr>
          <w:rFonts w:asciiTheme="minorEastAsia" w:hAnsiTheme="minorEastAsia" w:hint="eastAsia"/>
          <w:sz w:val="24"/>
          <w:szCs w:val="24"/>
        </w:rPr>
        <w:t xml:space="preserve">  通过</w:t>
      </w:r>
      <w:r w:rsidR="00962E3C">
        <w:rPr>
          <w:rFonts w:asciiTheme="minorEastAsia" w:hAnsiTheme="minorEastAsia" w:hint="eastAsia"/>
          <w:sz w:val="24"/>
          <w:szCs w:val="24"/>
        </w:rPr>
        <w:t>□</w:t>
      </w:r>
      <w:r w:rsidR="00962E3C">
        <w:rPr>
          <w:rFonts w:asciiTheme="minorEastAsia" w:hAnsiTheme="minorEastAsia" w:hint="eastAsia"/>
          <w:sz w:val="24"/>
          <w:szCs w:val="24"/>
        </w:rPr>
        <w:t xml:space="preserve">       不通过</w:t>
      </w:r>
      <w:r w:rsidR="00962E3C">
        <w:rPr>
          <w:rFonts w:asciiTheme="minorEastAsia" w:hAnsiTheme="minorEastAsia" w:hint="eastAsia"/>
          <w:sz w:val="24"/>
          <w:szCs w:val="24"/>
        </w:rPr>
        <w:t>□</w:t>
      </w:r>
    </w:p>
    <w:p w:rsidR="004E3ED1" w:rsidRDefault="00000000">
      <w:pPr>
        <w:spacing w:line="360" w:lineRule="auto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 w:rsidR="004E3ED1" w:rsidRDefault="00000000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 w:rsidR="004E3ED1" w:rsidRDefault="00000000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 w:rsidR="00112346" w:rsidRDefault="00112346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</w:t>
      </w:r>
    </w:p>
    <w:p w:rsidR="008114A2" w:rsidRDefault="008114A2" w:rsidP="008114A2">
      <w:pPr>
        <w:rPr>
          <w:rFonts w:ascii="宋体" w:eastAsia="宋体" w:hAnsi="宋体" w:hint="eastAsia"/>
          <w:sz w:val="20"/>
          <w:szCs w:val="20"/>
        </w:rPr>
      </w:pPr>
    </w:p>
    <w:p w:rsidR="00112346" w:rsidRPr="008114A2" w:rsidRDefault="00112346" w:rsidP="008114A2">
      <w:pPr>
        <w:rPr>
          <w:rFonts w:ascii="宋体" w:eastAsia="宋体" w:hAnsi="宋体" w:hint="eastAsia"/>
          <w:sz w:val="20"/>
          <w:szCs w:val="20"/>
        </w:rPr>
      </w:pPr>
      <w:r w:rsidRPr="008114A2">
        <w:rPr>
          <w:rFonts w:ascii="宋体" w:eastAsia="宋体" w:hAnsi="宋体" w:hint="eastAsia"/>
          <w:sz w:val="20"/>
          <w:szCs w:val="20"/>
        </w:rPr>
        <w:t>注1：年度监督评价材料清单（包括但不限于）：企业开展自我评价的通知及会议签到表、企业自我评价报告、企业标准化工作自评打分表、不符合报告及整改材料、现场监督评价过程照片等</w:t>
      </w:r>
      <w:r w:rsidR="0006048D" w:rsidRPr="008114A2">
        <w:rPr>
          <w:rFonts w:ascii="宋体" w:eastAsia="宋体" w:hAnsi="宋体" w:hint="eastAsia"/>
          <w:sz w:val="20"/>
          <w:szCs w:val="20"/>
        </w:rPr>
        <w:t>；</w:t>
      </w:r>
    </w:p>
    <w:p w:rsidR="00D04EC3" w:rsidRPr="008114A2" w:rsidRDefault="00112346" w:rsidP="008114A2">
      <w:pPr>
        <w:rPr>
          <w:rFonts w:ascii="宋体" w:eastAsia="宋体" w:hAnsi="宋体" w:hint="eastAsia"/>
          <w:sz w:val="20"/>
          <w:szCs w:val="20"/>
        </w:rPr>
      </w:pPr>
      <w:r w:rsidRPr="008114A2">
        <w:rPr>
          <w:rFonts w:ascii="宋体" w:eastAsia="宋体" w:hAnsi="宋体" w:hint="eastAsia"/>
          <w:sz w:val="20"/>
          <w:szCs w:val="20"/>
        </w:rPr>
        <w:t>注</w:t>
      </w:r>
      <w:r w:rsidR="00D04EC3" w:rsidRPr="008114A2">
        <w:rPr>
          <w:rFonts w:ascii="宋体" w:eastAsia="宋体" w:hAnsi="宋体" w:hint="eastAsia"/>
          <w:sz w:val="20"/>
          <w:szCs w:val="20"/>
        </w:rPr>
        <w:t>2</w:t>
      </w:r>
      <w:r w:rsidRPr="008114A2">
        <w:rPr>
          <w:rFonts w:ascii="宋体" w:eastAsia="宋体" w:hAnsi="宋体" w:hint="eastAsia"/>
          <w:sz w:val="20"/>
          <w:szCs w:val="20"/>
        </w:rPr>
        <w:t>：</w:t>
      </w:r>
      <w:r w:rsidR="0006048D" w:rsidRPr="008114A2">
        <w:rPr>
          <w:rFonts w:ascii="宋体" w:eastAsia="宋体" w:hAnsi="宋体" w:hint="eastAsia"/>
          <w:sz w:val="20"/>
          <w:szCs w:val="20"/>
        </w:rPr>
        <w:t>本报告一式两份，企业和评价机构各留存一份</w:t>
      </w:r>
      <w:r w:rsidR="008114A2">
        <w:rPr>
          <w:rFonts w:ascii="宋体" w:eastAsia="宋体" w:hAnsi="宋体" w:hint="eastAsia"/>
          <w:sz w:val="20"/>
          <w:szCs w:val="20"/>
        </w:rPr>
        <w:t>，电子版由年度监督评价专家上传平台</w:t>
      </w:r>
      <w:r w:rsidR="0006048D" w:rsidRPr="008114A2">
        <w:rPr>
          <w:rFonts w:ascii="宋体" w:eastAsia="宋体" w:hAnsi="宋体" w:hint="eastAsia"/>
          <w:sz w:val="20"/>
          <w:szCs w:val="20"/>
        </w:rPr>
        <w:t>。</w:t>
      </w:r>
    </w:p>
    <w:p w:rsidR="004E3ED1" w:rsidRDefault="004E3ED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06048D" w:rsidRDefault="0006048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E3ED1" w:rsidRDefault="004E3ED1">
      <w:pPr>
        <w:spacing w:line="360" w:lineRule="auto"/>
        <w:rPr>
          <w:rFonts w:hint="eastAsia"/>
          <w:sz w:val="24"/>
          <w:szCs w:val="24"/>
        </w:rPr>
      </w:pPr>
    </w:p>
    <w:p w:rsidR="004E3ED1" w:rsidRDefault="0000000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企业盖章：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机构盖章：</w:t>
      </w:r>
    </w:p>
    <w:p w:rsidR="0006048D" w:rsidRDefault="0006048D" w:rsidP="0006048D">
      <w:pPr>
        <w:spacing w:line="360" w:lineRule="auto"/>
        <w:rPr>
          <w:rFonts w:hint="eastAsia"/>
          <w:sz w:val="24"/>
          <w:szCs w:val="24"/>
        </w:rPr>
      </w:pPr>
    </w:p>
    <w:p w:rsidR="004E3ED1" w:rsidRDefault="00000000" w:rsidP="0006048D">
      <w:pPr>
        <w:spacing w:line="360" w:lineRule="auto"/>
        <w:rPr>
          <w:rFonts w:hint="eastAsia"/>
          <w:sz w:val="28"/>
        </w:rPr>
      </w:pPr>
      <w:r>
        <w:rPr>
          <w:rFonts w:hint="eastAsia"/>
          <w:sz w:val="24"/>
          <w:szCs w:val="24"/>
        </w:rPr>
        <w:t>签字：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签字：</w:t>
      </w:r>
    </w:p>
    <w:sectPr w:rsidR="004E3ED1" w:rsidSect="00B81B9C">
      <w:pgSz w:w="11906" w:h="16838" w:orient="landscape"/>
      <w:pgMar w:top="1418" w:right="1416" w:bottom="1135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13E" w:rsidRDefault="004F613E">
      <w:pPr>
        <w:rPr>
          <w:rFonts w:hint="eastAsia"/>
        </w:rPr>
      </w:pPr>
      <w:r>
        <w:separator/>
      </w:r>
    </w:p>
  </w:endnote>
  <w:endnote w:type="continuationSeparator" w:id="0">
    <w:p w:rsidR="004F613E" w:rsidRDefault="004F61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13E" w:rsidRDefault="004F613E">
      <w:pPr>
        <w:rPr>
          <w:rFonts w:hint="eastAsia"/>
        </w:rPr>
      </w:pPr>
      <w:r>
        <w:separator/>
      </w:r>
    </w:p>
  </w:footnote>
  <w:footnote w:type="continuationSeparator" w:id="0">
    <w:p w:rsidR="004F613E" w:rsidRDefault="004F613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07B3"/>
    <w:multiLevelType w:val="multilevel"/>
    <w:tmpl w:val="0AE0788A"/>
    <w:lvl w:ilvl="0">
      <w:start w:val="5"/>
      <w:numFmt w:val="bullet"/>
      <w:suff w:val="space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suff w:val="space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space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suff w:val="space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suff w:val="space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suff w:val="space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suff w:val="space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suff w:val="space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suff w:val="space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143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D1"/>
    <w:rsid w:val="0006048D"/>
    <w:rsid w:val="00112346"/>
    <w:rsid w:val="00160EFF"/>
    <w:rsid w:val="00176059"/>
    <w:rsid w:val="00431A90"/>
    <w:rsid w:val="00497C9D"/>
    <w:rsid w:val="004E3ED1"/>
    <w:rsid w:val="004F613E"/>
    <w:rsid w:val="00641D96"/>
    <w:rsid w:val="00654EAA"/>
    <w:rsid w:val="00677E18"/>
    <w:rsid w:val="008114A2"/>
    <w:rsid w:val="00812495"/>
    <w:rsid w:val="00962E3C"/>
    <w:rsid w:val="00AE52FE"/>
    <w:rsid w:val="00B81B9C"/>
    <w:rsid w:val="00D04EC3"/>
    <w:rsid w:val="00D179BA"/>
    <w:rsid w:val="00D31BA2"/>
    <w:rsid w:val="00DB502F"/>
    <w:rsid w:val="00DE3C25"/>
    <w:rsid w:val="00EA6BCE"/>
    <w:rsid w:val="00F0402C"/>
    <w:rsid w:val="00F1302A"/>
    <w:rsid w:val="00F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1741A"/>
  <w15:docId w15:val="{B5283402-ED03-4F99-B28C-C961A0EC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标题 字符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标题 字符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 字符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明显引用 字符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脚注文本 字符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尾注文本 字符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Pr>
      <w:sz w:val="18"/>
      <w:szCs w:val="18"/>
    </w:rPr>
  </w:style>
  <w:style w:type="paragraph" w:styleId="afa">
    <w:name w:val="Balloon Text"/>
    <w:basedOn w:val="a"/>
    <w:link w:val="afb"/>
    <w:uiPriority w:val="99"/>
    <w:semiHidden/>
    <w:unhideWhenUsed/>
    <w:rPr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rPr>
      <w:sz w:val="18"/>
      <w:szCs w:val="18"/>
    </w:rPr>
  </w:style>
  <w:style w:type="paragraph" w:styleId="afc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1003</Words>
  <Characters>1003</Characters>
  <Application>Microsoft Office Word</Application>
  <DocSecurity>0</DocSecurity>
  <Lines>143</Lines>
  <Paragraphs>133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Lu Gao</cp:lastModifiedBy>
  <cp:revision>39</cp:revision>
  <dcterms:created xsi:type="dcterms:W3CDTF">2020-12-09T08:15:00Z</dcterms:created>
  <dcterms:modified xsi:type="dcterms:W3CDTF">2025-06-10T06:11:00Z</dcterms:modified>
</cp:coreProperties>
</file>